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5E" w:rsidRDefault="0046485E" w:rsidP="00464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24"/>
          <w:lang w:eastAsia="pl-PL"/>
        </w:rPr>
        <w:t>RACHUNEK ZYSKÓW I STRAT JEDNOSTKI   (WARIANT PORÓWNAWCZY)</w:t>
      </w:r>
    </w:p>
    <w:p w:rsidR="0046485E" w:rsidRDefault="0046485E" w:rsidP="0046485E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354"/>
        <w:gridCol w:w="3361"/>
        <w:gridCol w:w="1685"/>
        <w:gridCol w:w="1960"/>
      </w:tblGrid>
      <w:tr w:rsidR="0046485E" w:rsidTr="0046485E">
        <w:trPr>
          <w:cantSplit/>
          <w:trHeight w:val="446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24"/>
                <w:lang w:eastAsia="pl-PL"/>
              </w:rPr>
            </w:pPr>
          </w:p>
          <w:p w:rsidR="0046485E" w:rsidRDefault="004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PRZEDSZKOLE MIEJSKIE NR 16</w:t>
            </w:r>
          </w:p>
          <w:p w:rsidR="0046485E" w:rsidRDefault="004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„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Calineczka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”</w:t>
            </w:r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  <w:p w:rsidR="0046485E" w:rsidRDefault="004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Rachunek zysków i strat jednostki</w:t>
            </w:r>
          </w:p>
          <w:p w:rsidR="0046485E" w:rsidRDefault="004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(wariant porównawczy)</w:t>
            </w:r>
          </w:p>
          <w:p w:rsidR="0046485E" w:rsidRDefault="004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sporządzony na dzień</w:t>
            </w:r>
          </w:p>
          <w:p w:rsidR="0046485E" w:rsidRDefault="004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31.12.2024 roku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  <w:p w:rsidR="0046485E" w:rsidRDefault="004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</w:p>
          <w:p w:rsidR="0046485E" w:rsidRDefault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</w:tr>
      <w:tr w:rsidR="0046485E" w:rsidTr="0046485E">
        <w:trPr>
          <w:cantSplit/>
          <w:trHeight w:val="205"/>
        </w:trPr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REGON</w:t>
            </w:r>
          </w:p>
          <w:p w:rsidR="0046485E" w:rsidRDefault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85E" w:rsidRDefault="0046485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pl-PL"/>
              </w:rPr>
              <w:t>Wysłać bez pisma przewodniego</w:t>
            </w:r>
          </w:p>
        </w:tc>
      </w:tr>
      <w:tr w:rsidR="0046485E" w:rsidTr="0046485E">
        <w:trPr>
          <w:trHeight w:val="70"/>
        </w:trPr>
        <w:tc>
          <w:tcPr>
            <w:tcW w:w="6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Stan na koniec roku poprzedniego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Stan na koniec roku bieżącego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A.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Przychody netto z podstawowej działalności operacyjnej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430 527,00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513 339,50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Przychody netto ze sprzedaży produktów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Zmiana stanu produktów (zwiększenie – wartość dodatnia, zmniejszenie – wartość ujemna)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III.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Koszt wytworzenia produktów na własne potrzeby jednostki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IV.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Przychody netto ze sprzedaży towarów i materiałów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V.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Dotacje na finansowanie działalności podstawowej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VI.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Przychody z tytułu dochodów budżetowych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430 527,00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513 339,50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B.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Koszty działalności operacyjnej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3 545 939,52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4 512 885,23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Amortyzacja</w:t>
            </w:r>
          </w:p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7 795,24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23 036,14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Zużycie materiałów i energii</w:t>
            </w:r>
          </w:p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517 350,89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553 205,59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III.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Usługi obce</w:t>
            </w:r>
          </w:p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tabs>
                <w:tab w:val="left" w:pos="121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49 968,24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tabs>
                <w:tab w:val="left" w:pos="121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112 327,40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IV.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Podatki i opłaty</w:t>
            </w:r>
          </w:p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V.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Wynagrodzenia</w:t>
            </w:r>
          </w:p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2 445 999,69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3 183 505,01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VI.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Ubezpieczenia społeczne i inne świadczenia dla pracowników</w:t>
            </w:r>
          </w:p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524 825,46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640 811,09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VII.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Pozostałe koszty rodzajowe</w:t>
            </w:r>
          </w:p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VIII.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Wartość sprzedanych towarów i materiałów</w:t>
            </w:r>
          </w:p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IX.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pl-PL"/>
              </w:rPr>
              <w:t>Inne świadczenia finansowane z budżetu</w:t>
            </w:r>
          </w:p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X.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Pozostałe obciążenia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C.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Zysk (strata) z działalności podstawowej  (A-B)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- 3 115 412,52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- 3 999 545,73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D.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Pozostałe przychody operacyjne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Zysk ze zbycia niefinansowych aktywów trwałych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Dotacje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III.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Inne przychody operacyjne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E.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Pozostałe koszty operacyjne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lastRenderedPageBreak/>
              <w:t>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Koszty inwestycji finansowanych ze środków własnych samorządowych zakładów budżetowych i dochodów jednostek budżetowych gromadzonych na wydzielonym rachunku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rPr>
          <w:trHeight w:val="2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Pozostałe koszty operacyjne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F.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Zysk (strata) z działalności operacyjnej (C+D-E)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- 3 115 412,52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- 3 999 545,73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G.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Przychody finansowe</w:t>
            </w:r>
          </w:p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4 186,21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3 777,80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Dywidendy i udziały w zyskach</w:t>
            </w:r>
          </w:p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Odsetki</w:t>
            </w:r>
          </w:p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1 716,21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2 217,80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III.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Inne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2 470,00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1 560,00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H.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Koszty finansowe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I. 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Odsetki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Inne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I.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Zysk (strata) brutto  (F + G –H )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- 3 111 226,31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- 3 995 767,93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J.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Podatek dochodowy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K.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 xml:space="preserve">Pozostałe obowiązkowe zmniejszenia zysku (zwiększenia straty) 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0</w:t>
            </w:r>
          </w:p>
        </w:tc>
      </w:tr>
      <w:tr w:rsidR="0046485E" w:rsidTr="0046485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L.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  <w:t>Zysk (strata) netto   (I-J-K)</w:t>
            </w:r>
          </w:p>
          <w:p w:rsidR="0046485E" w:rsidRDefault="0046485E" w:rsidP="00464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pl-PL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- 3 111 226,31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85E" w:rsidRDefault="0046485E" w:rsidP="00464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- 3 995 767,93</w:t>
            </w:r>
          </w:p>
        </w:tc>
      </w:tr>
    </w:tbl>
    <w:p w:rsidR="0046485E" w:rsidRDefault="0046485E" w:rsidP="0046485E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</w:p>
    <w:p w:rsidR="0046485E" w:rsidRDefault="0046485E" w:rsidP="0046485E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 xml:space="preserve">  </w:t>
      </w:r>
    </w:p>
    <w:p w:rsidR="0046485E" w:rsidRDefault="009009C1" w:rsidP="0046485E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 xml:space="preserve">    </w:t>
      </w:r>
      <w:r>
        <w:rPr>
          <w:rFonts w:ascii="Arial" w:eastAsia="Times New Roman" w:hAnsi="Arial" w:cs="Arial"/>
          <w:sz w:val="18"/>
          <w:szCs w:val="24"/>
          <w:lang w:eastAsia="pl-PL"/>
        </w:rPr>
        <w:tab/>
        <w:t>Sylwia Krawczyk</w:t>
      </w:r>
      <w:r w:rsidR="0046485E">
        <w:rPr>
          <w:rFonts w:ascii="Arial" w:eastAsia="Times New Roman" w:hAnsi="Arial" w:cs="Arial"/>
          <w:sz w:val="18"/>
          <w:szCs w:val="24"/>
          <w:lang w:eastAsia="pl-PL"/>
        </w:rPr>
        <w:tab/>
      </w:r>
      <w:r w:rsidR="0046485E">
        <w:rPr>
          <w:rFonts w:ascii="Arial" w:eastAsia="Times New Roman" w:hAnsi="Arial" w:cs="Arial"/>
          <w:sz w:val="18"/>
          <w:szCs w:val="24"/>
          <w:lang w:eastAsia="pl-PL"/>
        </w:rPr>
        <w:tab/>
        <w:t xml:space="preserve">                   2025-03-03                                          </w:t>
      </w:r>
      <w:r>
        <w:rPr>
          <w:rFonts w:ascii="Arial" w:eastAsia="Times New Roman" w:hAnsi="Arial" w:cs="Arial"/>
          <w:sz w:val="18"/>
          <w:szCs w:val="24"/>
          <w:lang w:eastAsia="pl-PL"/>
        </w:rPr>
        <w:t>Anna Winiecka</w:t>
      </w:r>
      <w:bookmarkStart w:id="0" w:name="_GoBack"/>
      <w:bookmarkEnd w:id="0"/>
    </w:p>
    <w:p w:rsidR="0046485E" w:rsidRDefault="0046485E" w:rsidP="0046485E">
      <w:pPr>
        <w:spacing w:after="0" w:line="240" w:lineRule="auto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>.....................................................        ........................................................         .......................................................</w:t>
      </w:r>
    </w:p>
    <w:p w:rsidR="004A7208" w:rsidRDefault="0046485E" w:rsidP="0046485E">
      <w:r>
        <w:rPr>
          <w:rFonts w:ascii="Arial" w:eastAsia="Times New Roman" w:hAnsi="Arial" w:cs="Arial"/>
          <w:sz w:val="18"/>
          <w:szCs w:val="24"/>
          <w:lang w:eastAsia="pl-PL"/>
        </w:rPr>
        <w:t xml:space="preserve">         (główny księgowy)                              (rok  -  miesiąc  - dzień)                         (kier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ownik jednostki</w:t>
      </w:r>
    </w:p>
    <w:sectPr w:rsidR="004A7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5E"/>
    <w:rsid w:val="0046485E"/>
    <w:rsid w:val="004A7208"/>
    <w:rsid w:val="0090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A0D0"/>
  <w15:chartTrackingRefBased/>
  <w15:docId w15:val="{A569A466-4D94-43C2-8E03-8B055ABF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5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PM16</dc:creator>
  <cp:keywords/>
  <dc:description/>
  <cp:lastModifiedBy>PM16</cp:lastModifiedBy>
  <cp:revision>2</cp:revision>
  <cp:lastPrinted>2025-02-18T10:52:00Z</cp:lastPrinted>
  <dcterms:created xsi:type="dcterms:W3CDTF">2025-10-24T08:38:00Z</dcterms:created>
  <dcterms:modified xsi:type="dcterms:W3CDTF">2025-10-24T08:38:00Z</dcterms:modified>
</cp:coreProperties>
</file>